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E13A3" w14:textId="22455491" w:rsidR="00A90283" w:rsidRPr="00E834E8" w:rsidRDefault="00A90283" w:rsidP="00E834E8">
      <w:pPr>
        <w:jc w:val="center"/>
        <w:rPr>
          <w:b/>
          <w:bCs/>
          <w:sz w:val="28"/>
          <w:szCs w:val="28"/>
        </w:rPr>
      </w:pPr>
      <w:r w:rsidRPr="00E834E8">
        <w:rPr>
          <w:b/>
          <w:bCs/>
          <w:sz w:val="28"/>
          <w:szCs w:val="28"/>
        </w:rPr>
        <w:t xml:space="preserve">Human readable format of the </w:t>
      </w:r>
      <w:r w:rsidR="00E834E8" w:rsidRPr="00E834E8">
        <w:rPr>
          <w:b/>
          <w:bCs/>
          <w:sz w:val="28"/>
          <w:szCs w:val="28"/>
        </w:rPr>
        <w:t>Regulation Checker output for Rolls Royce plc 2024 Annual Report</w:t>
      </w:r>
    </w:p>
    <w:p w14:paraId="38CFAEE4" w14:textId="3DF81C9A" w:rsidR="00DF01A5" w:rsidRPr="00DF01A5" w:rsidRDefault="00DF01A5" w:rsidP="00DF01A5">
      <w:pPr>
        <w:rPr>
          <w:b/>
          <w:bCs/>
        </w:rPr>
      </w:pPr>
      <w:r w:rsidRPr="00DF01A5">
        <w:rPr>
          <w:b/>
          <w:bCs/>
        </w:rPr>
        <w:t>Strategic Report</w:t>
      </w:r>
    </w:p>
    <w:p w14:paraId="12754349" w14:textId="77777777" w:rsidR="00DF01A5" w:rsidRPr="00DF01A5" w:rsidRDefault="00DF01A5" w:rsidP="00DF01A5">
      <w:r w:rsidRPr="00DF01A5">
        <w:rPr>
          <w:b/>
          <w:bCs/>
        </w:rPr>
        <w:t>Companies Act 2006 s414C and FRC guidance</w:t>
      </w:r>
    </w:p>
    <w:p w14:paraId="37A314EC" w14:textId="77777777" w:rsidR="00DF01A5" w:rsidRPr="00DF01A5" w:rsidRDefault="00DF01A5" w:rsidP="00DF01A5">
      <w:r w:rsidRPr="00DF01A5">
        <w:rPr>
          <w:b/>
          <w:bCs/>
        </w:rPr>
        <w:t>Fair review of development, performance and position</w:t>
      </w:r>
      <w:r w:rsidRPr="00DF01A5">
        <w:br/>
        <w:t xml:space="preserve">Status: </w:t>
      </w:r>
      <w:r w:rsidRPr="00DF01A5">
        <w:rPr>
          <w:b/>
          <w:bCs/>
        </w:rPr>
        <w:t>Partially met</w:t>
      </w:r>
      <w:r w:rsidRPr="00DF01A5">
        <w:br/>
        <w:t>Financial performance, position, and drivers are well covered in the CFO and financial review sections. However, based on the reviewed extracts, the full “fair review” case is spread across sections and is not consistently visible end-to-end in a single narrative, particularly around balance and negatives.</w:t>
      </w:r>
    </w:p>
    <w:p w14:paraId="06666D91" w14:textId="77777777" w:rsidR="00DF01A5" w:rsidRPr="00DF01A5" w:rsidRDefault="00DF01A5" w:rsidP="00DF01A5">
      <w:r w:rsidRPr="00DF01A5">
        <w:rPr>
          <w:b/>
          <w:bCs/>
        </w:rPr>
        <w:t>Principal risks and uncertainties</w:t>
      </w:r>
      <w:r w:rsidRPr="00DF01A5">
        <w:br/>
        <w:t xml:space="preserve">Status: </w:t>
      </w:r>
      <w:r w:rsidRPr="00DF01A5">
        <w:rPr>
          <w:b/>
          <w:bCs/>
        </w:rPr>
        <w:t>Met</w:t>
      </w:r>
      <w:r w:rsidRPr="00DF01A5">
        <w:br/>
        <w:t>A clear principal risks section is present, with multiple principal risks identified, supported by an emerging risks process and continuation pages.</w:t>
      </w:r>
    </w:p>
    <w:p w14:paraId="22860043" w14:textId="77777777" w:rsidR="00DF01A5" w:rsidRPr="00DF01A5" w:rsidRDefault="00DF01A5" w:rsidP="00DF01A5">
      <w:r w:rsidRPr="00DF01A5">
        <w:rPr>
          <w:b/>
          <w:bCs/>
        </w:rPr>
        <w:t>KPIs (financial and non-financial)</w:t>
      </w:r>
      <w:r w:rsidRPr="00DF01A5">
        <w:br/>
        <w:t xml:space="preserve">Status: </w:t>
      </w:r>
      <w:r w:rsidRPr="00DF01A5">
        <w:rPr>
          <w:b/>
          <w:bCs/>
        </w:rPr>
        <w:t>Met</w:t>
      </w:r>
      <w:r w:rsidRPr="00DF01A5">
        <w:br/>
        <w:t>A dedicated KPI section exists, covering both financial and non-financial measures, with performance commentary elsewhere in the report.</w:t>
      </w:r>
    </w:p>
    <w:p w14:paraId="09C4C0BE" w14:textId="77777777" w:rsidR="00DF01A5" w:rsidRPr="00DF01A5" w:rsidRDefault="00DF01A5" w:rsidP="00DF01A5">
      <w:r w:rsidRPr="00DF01A5">
        <w:rPr>
          <w:b/>
          <w:bCs/>
        </w:rPr>
        <w:t>Business model</w:t>
      </w:r>
      <w:r w:rsidRPr="00DF01A5">
        <w:br/>
        <w:t xml:space="preserve">Status: </w:t>
      </w:r>
      <w:r w:rsidRPr="00DF01A5">
        <w:rPr>
          <w:b/>
          <w:bCs/>
        </w:rPr>
        <w:t>Met</w:t>
      </w:r>
      <w:r w:rsidRPr="00DF01A5">
        <w:br/>
        <w:t>The business model is described clearly, including how value is created across divisions.</w:t>
      </w:r>
    </w:p>
    <w:p w14:paraId="5C22E78D" w14:textId="77777777" w:rsidR="00DF01A5" w:rsidRPr="00DF01A5" w:rsidRDefault="00DF01A5" w:rsidP="00DF01A5">
      <w:r w:rsidRPr="00DF01A5">
        <w:rPr>
          <w:b/>
          <w:bCs/>
        </w:rPr>
        <w:t>Environmental matters</w:t>
      </w:r>
      <w:r w:rsidRPr="00DF01A5">
        <w:br/>
        <w:t xml:space="preserve">Status: </w:t>
      </w:r>
      <w:r w:rsidRPr="00DF01A5">
        <w:rPr>
          <w:b/>
          <w:bCs/>
        </w:rPr>
        <w:t>Partially met</w:t>
      </w:r>
      <w:r w:rsidRPr="00DF01A5">
        <w:br/>
        <w:t>Environmental metrics are disclosed, including emissions, energy and waste. In the reviewed extracts, narrative explaining environmental impacts, policies and outcomes is more limited, with a stronger emphasis on data than explanation.</w:t>
      </w:r>
    </w:p>
    <w:p w14:paraId="421A04B5" w14:textId="77777777" w:rsidR="00DF01A5" w:rsidRPr="00DF01A5" w:rsidRDefault="00DF01A5" w:rsidP="00DF01A5">
      <w:r w:rsidRPr="00DF01A5">
        <w:rPr>
          <w:b/>
          <w:bCs/>
        </w:rPr>
        <w:t>Employee matters</w:t>
      </w:r>
      <w:r w:rsidRPr="00DF01A5">
        <w:br/>
        <w:t xml:space="preserve">Status: </w:t>
      </w:r>
      <w:r w:rsidRPr="00DF01A5">
        <w:rPr>
          <w:b/>
          <w:bCs/>
        </w:rPr>
        <w:t>Met</w:t>
      </w:r>
      <w:r w:rsidRPr="00DF01A5">
        <w:br/>
        <w:t>Employee metrics, wellbeing, learning, diversity and safety indicators are disclosed in a substantive and structured way.</w:t>
      </w:r>
    </w:p>
    <w:p w14:paraId="7B337096" w14:textId="77777777" w:rsidR="00DF01A5" w:rsidRPr="00DF01A5" w:rsidRDefault="00DF01A5" w:rsidP="00DF01A5">
      <w:r w:rsidRPr="00DF01A5">
        <w:rPr>
          <w:b/>
          <w:bCs/>
        </w:rPr>
        <w:t>Social and community matters</w:t>
      </w:r>
      <w:r w:rsidRPr="00DF01A5">
        <w:br/>
        <w:t xml:space="preserve">Status: </w:t>
      </w:r>
      <w:r w:rsidRPr="00DF01A5">
        <w:rPr>
          <w:b/>
          <w:bCs/>
        </w:rPr>
        <w:t>Met</w:t>
      </w:r>
      <w:r w:rsidRPr="00DF01A5">
        <w:br/>
        <w:t>Community investment and STEM engagement activities are disclosed, with quantitative metrics.</w:t>
      </w:r>
    </w:p>
    <w:p w14:paraId="7F732CB7" w14:textId="77777777" w:rsidR="00DF01A5" w:rsidRPr="00DF01A5" w:rsidRDefault="00DF01A5" w:rsidP="00DF01A5">
      <w:r w:rsidRPr="00DF01A5">
        <w:rPr>
          <w:b/>
          <w:bCs/>
        </w:rPr>
        <w:t>Human rights</w:t>
      </w:r>
      <w:r w:rsidRPr="00DF01A5">
        <w:br/>
        <w:t xml:space="preserve">Status: </w:t>
      </w:r>
      <w:r w:rsidRPr="00DF01A5">
        <w:rPr>
          <w:b/>
          <w:bCs/>
        </w:rPr>
        <w:t>Met</w:t>
      </w:r>
      <w:r w:rsidRPr="00DF01A5">
        <w:br/>
        <w:t>Human rights and modern slavery frameworks, governance and supplier due diligence processes are disclosed.</w:t>
      </w:r>
    </w:p>
    <w:p w14:paraId="00875D00" w14:textId="77777777" w:rsidR="00DF01A5" w:rsidRPr="00DF01A5" w:rsidRDefault="00DF01A5" w:rsidP="00DF01A5">
      <w:r w:rsidRPr="00DF01A5">
        <w:rPr>
          <w:b/>
          <w:bCs/>
        </w:rPr>
        <w:t>Anti-corruption and bribery</w:t>
      </w:r>
      <w:r w:rsidRPr="00DF01A5">
        <w:br/>
        <w:t xml:space="preserve">Status: </w:t>
      </w:r>
      <w:r w:rsidRPr="00DF01A5">
        <w:rPr>
          <w:b/>
          <w:bCs/>
        </w:rPr>
        <w:t>Met</w:t>
      </w:r>
      <w:r w:rsidRPr="00DF01A5">
        <w:br/>
      </w:r>
      <w:r w:rsidRPr="00DF01A5">
        <w:lastRenderedPageBreak/>
        <w:t>The anti-bribery and corruption programme, monitoring and historical enforcement context are disclosed.</w:t>
      </w:r>
    </w:p>
    <w:p w14:paraId="6407677E" w14:textId="77777777" w:rsidR="00DF01A5" w:rsidRPr="00DF01A5" w:rsidRDefault="00DF01A5" w:rsidP="00DF01A5">
      <w:r w:rsidRPr="00DF01A5">
        <w:rPr>
          <w:b/>
          <w:bCs/>
        </w:rPr>
        <w:t>Future developments and trends</w:t>
      </w:r>
      <w:r w:rsidRPr="00DF01A5">
        <w:br/>
        <w:t xml:space="preserve">Status: </w:t>
      </w:r>
      <w:r w:rsidRPr="00DF01A5">
        <w:rPr>
          <w:b/>
          <w:bCs/>
        </w:rPr>
        <w:t>Met</w:t>
      </w:r>
      <w:r w:rsidRPr="00DF01A5">
        <w:br/>
        <w:t>Outlook, guidance and medium-term targets are discussed across strategic and financial sections.</w:t>
      </w:r>
    </w:p>
    <w:p w14:paraId="0B1A4A35" w14:textId="77777777" w:rsidR="00DF01A5" w:rsidRPr="00DF01A5" w:rsidRDefault="00DF01A5" w:rsidP="00DF01A5">
      <w:r w:rsidRPr="00DF01A5">
        <w:rPr>
          <w:b/>
          <w:bCs/>
        </w:rPr>
        <w:t>KPI definitions and methodology</w:t>
      </w:r>
      <w:r w:rsidRPr="00DF01A5">
        <w:br/>
        <w:t xml:space="preserve">Status: </w:t>
      </w:r>
      <w:r w:rsidRPr="00DF01A5">
        <w:rPr>
          <w:b/>
          <w:bCs/>
        </w:rPr>
        <w:t>Met</w:t>
      </w:r>
      <w:r w:rsidRPr="00DF01A5">
        <w:br/>
        <w:t>KPI definitions, rationale and methodology are disclosed, with additional detail in sustainability and assurance sections.</w:t>
      </w:r>
    </w:p>
    <w:p w14:paraId="0A9D94BF" w14:textId="77777777" w:rsidR="00DF01A5" w:rsidRPr="00DF01A5" w:rsidRDefault="00DF01A5" w:rsidP="00DF01A5">
      <w:r w:rsidRPr="00DF01A5">
        <w:pict w14:anchorId="33144FB2">
          <v:rect id="_x0000_i1026" style="width:0;height:1.5pt" o:hralign="center" o:hrstd="t" o:hr="t" fillcolor="#a0a0a0" stroked="f"/>
        </w:pict>
      </w:r>
    </w:p>
    <w:p w14:paraId="5A600D6C" w14:textId="77777777" w:rsidR="00DF01A5" w:rsidRPr="00DF01A5" w:rsidRDefault="00DF01A5" w:rsidP="00DF01A5">
      <w:pPr>
        <w:rPr>
          <w:b/>
          <w:bCs/>
        </w:rPr>
      </w:pPr>
      <w:r w:rsidRPr="00DF01A5">
        <w:rPr>
          <w:b/>
          <w:bCs/>
        </w:rPr>
        <w:t>Non-Financial and Sustainability Information Statement</w:t>
      </w:r>
    </w:p>
    <w:p w14:paraId="31EFBE41" w14:textId="77777777" w:rsidR="00DF01A5" w:rsidRPr="00DF01A5" w:rsidRDefault="00DF01A5" w:rsidP="00DF01A5">
      <w:r w:rsidRPr="00DF01A5">
        <w:rPr>
          <w:b/>
          <w:bCs/>
        </w:rPr>
        <w:t>Companies Act 2006 s414CB</w:t>
      </w:r>
    </w:p>
    <w:p w14:paraId="55628B2B" w14:textId="77777777" w:rsidR="00DF01A5" w:rsidRPr="00DF01A5" w:rsidRDefault="00DF01A5" w:rsidP="00DF01A5">
      <w:r w:rsidRPr="00DF01A5">
        <w:rPr>
          <w:b/>
          <w:bCs/>
        </w:rPr>
        <w:t>Statement clearly identified</w:t>
      </w:r>
      <w:r w:rsidRPr="00DF01A5">
        <w:br/>
        <w:t xml:space="preserve">Status: </w:t>
      </w:r>
      <w:r w:rsidRPr="00DF01A5">
        <w:rPr>
          <w:b/>
          <w:bCs/>
        </w:rPr>
        <w:t>Uncertain</w:t>
      </w:r>
      <w:r w:rsidRPr="00DF01A5">
        <w:br/>
        <w:t>The table of contents signposts to a non-financial and sustainability information statement, but the labelled statement itself is not evidenced in the reviewed extracts.</w:t>
      </w:r>
    </w:p>
    <w:p w14:paraId="4081DC5E" w14:textId="77777777" w:rsidR="00DF01A5" w:rsidRPr="00DF01A5" w:rsidRDefault="00DF01A5" w:rsidP="00DF01A5">
      <w:r w:rsidRPr="00DF01A5">
        <w:rPr>
          <w:b/>
          <w:bCs/>
        </w:rPr>
        <w:t>Required content elements (employees, human rights, ABC, KPIs, due diligence)</w:t>
      </w:r>
      <w:r w:rsidRPr="00DF01A5">
        <w:br/>
        <w:t xml:space="preserve">Status: </w:t>
      </w:r>
      <w:r w:rsidRPr="00DF01A5">
        <w:rPr>
          <w:b/>
          <w:bCs/>
        </w:rPr>
        <w:t>Partially met</w:t>
      </w:r>
      <w:r w:rsidRPr="00DF01A5">
        <w:br/>
        <w:t xml:space="preserve">The underlying disclosures exist across the </w:t>
      </w:r>
      <w:proofErr w:type="gramStart"/>
      <w:r w:rsidRPr="00DF01A5">
        <w:t>report, but</w:t>
      </w:r>
      <w:proofErr w:type="gramEnd"/>
      <w:r w:rsidRPr="00DF01A5">
        <w:t xml:space="preserve"> are not clearly shown as being consolidated within the formally identified non-financial information statement.</w:t>
      </w:r>
    </w:p>
    <w:p w14:paraId="50EFE3A1" w14:textId="77777777" w:rsidR="00DF01A5" w:rsidRPr="00DF01A5" w:rsidRDefault="00DF01A5" w:rsidP="00DF01A5">
      <w:r w:rsidRPr="00DF01A5">
        <w:rPr>
          <w:b/>
          <w:bCs/>
        </w:rPr>
        <w:t>Mapping/signposting table</w:t>
      </w:r>
      <w:r w:rsidRPr="00DF01A5">
        <w:br/>
        <w:t xml:space="preserve">Status: </w:t>
      </w:r>
      <w:r w:rsidRPr="00DF01A5">
        <w:rPr>
          <w:b/>
          <w:bCs/>
        </w:rPr>
        <w:t>Partially met</w:t>
      </w:r>
      <w:r w:rsidRPr="00DF01A5">
        <w:br/>
        <w:t>A mapping table is referenced, but the reviewed excerpt focuses mainly on climate signposting rather than a full non-financial mapping.</w:t>
      </w:r>
    </w:p>
    <w:p w14:paraId="1DFC7D65" w14:textId="77777777" w:rsidR="00DF01A5" w:rsidRPr="00DF01A5" w:rsidRDefault="00DF01A5" w:rsidP="00DF01A5">
      <w:r w:rsidRPr="00DF01A5">
        <w:pict w14:anchorId="2D42208E">
          <v:rect id="_x0000_i1027" style="width:0;height:1.5pt" o:hralign="center" o:hrstd="t" o:hr="t" fillcolor="#a0a0a0" stroked="f"/>
        </w:pict>
      </w:r>
    </w:p>
    <w:p w14:paraId="7A63405D" w14:textId="77777777" w:rsidR="00DF01A5" w:rsidRPr="00DF01A5" w:rsidRDefault="00DF01A5" w:rsidP="00DF01A5">
      <w:pPr>
        <w:rPr>
          <w:b/>
          <w:bCs/>
        </w:rPr>
      </w:pPr>
      <w:r w:rsidRPr="00DF01A5">
        <w:rPr>
          <w:b/>
          <w:bCs/>
        </w:rPr>
        <w:t>UK Listing Rules and Corporate Governance</w:t>
      </w:r>
    </w:p>
    <w:p w14:paraId="4CA92439" w14:textId="77777777" w:rsidR="00DF01A5" w:rsidRPr="00DF01A5" w:rsidRDefault="00DF01A5" w:rsidP="00DF01A5">
      <w:r w:rsidRPr="00DF01A5">
        <w:rPr>
          <w:b/>
          <w:bCs/>
        </w:rPr>
        <w:t>LR 9 and UK Corporate Governance Code</w:t>
      </w:r>
    </w:p>
    <w:p w14:paraId="0FDF830A" w14:textId="77777777" w:rsidR="00DF01A5" w:rsidRPr="00DF01A5" w:rsidRDefault="00DF01A5" w:rsidP="00DF01A5">
      <w:r w:rsidRPr="00DF01A5">
        <w:rPr>
          <w:b/>
          <w:bCs/>
        </w:rPr>
        <w:t>Compliance statement with the Code</w:t>
      </w:r>
      <w:r w:rsidRPr="00DF01A5">
        <w:br/>
        <w:t xml:space="preserve">Status: </w:t>
      </w:r>
      <w:r w:rsidRPr="00DF01A5">
        <w:rPr>
          <w:b/>
          <w:bCs/>
        </w:rPr>
        <w:t>Met</w:t>
      </w:r>
      <w:r w:rsidRPr="00DF01A5">
        <w:br/>
        <w:t>The report states that the principles have been applied and the Code complied with in full.</w:t>
      </w:r>
    </w:p>
    <w:p w14:paraId="0CB2D26E" w14:textId="77777777" w:rsidR="00DF01A5" w:rsidRPr="00DF01A5" w:rsidRDefault="00DF01A5" w:rsidP="00DF01A5">
      <w:r w:rsidRPr="00DF01A5">
        <w:rPr>
          <w:b/>
          <w:bCs/>
        </w:rPr>
        <w:t>Corporate governance statement and internal control framework</w:t>
      </w:r>
      <w:r w:rsidRPr="00DF01A5">
        <w:br/>
        <w:t xml:space="preserve">Status: </w:t>
      </w:r>
      <w:r w:rsidRPr="00DF01A5">
        <w:rPr>
          <w:b/>
          <w:bCs/>
        </w:rPr>
        <w:t>Partially met</w:t>
      </w:r>
      <w:r w:rsidRPr="00DF01A5">
        <w:br/>
        <w:t>Governance structures and committee responsibilities are described, but the full governance statement narrative is dispersed across sections in the reviewed extracts.</w:t>
      </w:r>
    </w:p>
    <w:p w14:paraId="433F777D" w14:textId="77777777" w:rsidR="00DF01A5" w:rsidRPr="00DF01A5" w:rsidRDefault="00DF01A5" w:rsidP="00DF01A5">
      <w:r w:rsidRPr="00DF01A5">
        <w:rPr>
          <w:b/>
          <w:bCs/>
        </w:rPr>
        <w:t>Board promotes long-term sustainable success</w:t>
      </w:r>
      <w:r w:rsidRPr="00DF01A5">
        <w:br/>
        <w:t xml:space="preserve">Status: </w:t>
      </w:r>
      <w:r w:rsidRPr="00DF01A5">
        <w:rPr>
          <w:b/>
          <w:bCs/>
        </w:rPr>
        <w:t>Partially met</w:t>
      </w:r>
      <w:r w:rsidRPr="00DF01A5">
        <w:br/>
        <w:t>Long-term framing is present, but the explanation of how the board drives sustainable success is not fully evidenced in the reviewed material.</w:t>
      </w:r>
    </w:p>
    <w:p w14:paraId="74D7D2B8" w14:textId="77777777" w:rsidR="00DF01A5" w:rsidRPr="00DF01A5" w:rsidRDefault="00DF01A5" w:rsidP="00DF01A5">
      <w:r w:rsidRPr="00DF01A5">
        <w:rPr>
          <w:b/>
          <w:bCs/>
        </w:rPr>
        <w:lastRenderedPageBreak/>
        <w:t>Stakeholder engagement</w:t>
      </w:r>
      <w:r w:rsidRPr="00DF01A5">
        <w:br/>
        <w:t xml:space="preserve">Status: </w:t>
      </w:r>
      <w:r w:rsidRPr="00DF01A5">
        <w:rPr>
          <w:b/>
          <w:bCs/>
        </w:rPr>
        <w:t>Met</w:t>
      </w:r>
      <w:r w:rsidRPr="00DF01A5">
        <w:br/>
        <w:t>Stakeholder groups, engagement channels and mechanisms are clearly described.</w:t>
      </w:r>
    </w:p>
    <w:p w14:paraId="16BBD4A8" w14:textId="77777777" w:rsidR="00DF01A5" w:rsidRPr="00DF01A5" w:rsidRDefault="00DF01A5" w:rsidP="00DF01A5">
      <w:r w:rsidRPr="00DF01A5">
        <w:rPr>
          <w:b/>
          <w:bCs/>
        </w:rPr>
        <w:t>Workforce engagement (Provision 5)</w:t>
      </w:r>
      <w:r w:rsidRPr="00DF01A5">
        <w:br/>
        <w:t xml:space="preserve">Status: </w:t>
      </w:r>
      <w:r w:rsidRPr="00DF01A5">
        <w:rPr>
          <w:b/>
          <w:bCs/>
        </w:rPr>
        <w:t>Partially met</w:t>
      </w:r>
      <w:r w:rsidRPr="00DF01A5">
        <w:br/>
        <w:t>Workforce engagement mechanisms are described, but the rationale for the chosen method and evaluation of effectiveness are limited in the reviewed extracts.</w:t>
      </w:r>
    </w:p>
    <w:p w14:paraId="3ED9F597" w14:textId="77777777" w:rsidR="00DF01A5" w:rsidRPr="00DF01A5" w:rsidRDefault="00DF01A5" w:rsidP="00DF01A5">
      <w:r w:rsidRPr="00DF01A5">
        <w:rPr>
          <w:b/>
          <w:bCs/>
        </w:rPr>
        <w:t>Board culture and values</w:t>
      </w:r>
      <w:r w:rsidRPr="00DF01A5">
        <w:br/>
        <w:t xml:space="preserve">Status: </w:t>
      </w:r>
      <w:r w:rsidRPr="00DF01A5">
        <w:rPr>
          <w:b/>
          <w:bCs/>
        </w:rPr>
        <w:t>Partially met</w:t>
      </w:r>
      <w:r w:rsidRPr="00DF01A5">
        <w:br/>
        <w:t>Culture monitoring is referenced, but there is limited disclosure of metrics, conclusions and resulting actions.</w:t>
      </w:r>
    </w:p>
    <w:p w14:paraId="4AAF8369" w14:textId="77777777" w:rsidR="00DF01A5" w:rsidRPr="00DF01A5" w:rsidRDefault="00DF01A5" w:rsidP="00DF01A5">
      <w:r w:rsidRPr="00DF01A5">
        <w:rPr>
          <w:b/>
          <w:bCs/>
        </w:rPr>
        <w:t>Board composition and independence</w:t>
      </w:r>
      <w:r w:rsidRPr="00DF01A5">
        <w:br/>
        <w:t xml:space="preserve">Status: </w:t>
      </w:r>
      <w:r w:rsidRPr="00DF01A5">
        <w:rPr>
          <w:b/>
          <w:bCs/>
        </w:rPr>
        <w:t>Partially met</w:t>
      </w:r>
      <w:r w:rsidRPr="00DF01A5">
        <w:br/>
        <w:t>Board balance and independence are disclosed, but some threshold and independence explanations are not fully evidenced in the reviewed excerpts.</w:t>
      </w:r>
    </w:p>
    <w:p w14:paraId="4A514004" w14:textId="77777777" w:rsidR="00DF01A5" w:rsidRPr="00DF01A5" w:rsidRDefault="00DF01A5" w:rsidP="00DF01A5">
      <w:r w:rsidRPr="00DF01A5">
        <w:rPr>
          <w:b/>
          <w:bCs/>
        </w:rPr>
        <w:t>Board evaluation</w:t>
      </w:r>
      <w:r w:rsidRPr="00DF01A5">
        <w:br/>
        <w:t xml:space="preserve">Status: </w:t>
      </w:r>
      <w:r w:rsidRPr="00DF01A5">
        <w:rPr>
          <w:b/>
          <w:bCs/>
        </w:rPr>
        <w:t>Partially met</w:t>
      </w:r>
      <w:r w:rsidRPr="00DF01A5">
        <w:br/>
        <w:t>The evaluation process is described, but outcomes and actions are not detailed in the reviewed extracts.</w:t>
      </w:r>
    </w:p>
    <w:p w14:paraId="2A11B05F" w14:textId="77777777" w:rsidR="00DF01A5" w:rsidRPr="00DF01A5" w:rsidRDefault="00DF01A5" w:rsidP="00DF01A5">
      <w:r w:rsidRPr="00DF01A5">
        <w:rPr>
          <w:b/>
          <w:bCs/>
        </w:rPr>
        <w:t>Audit committee and auditor oversight</w:t>
      </w:r>
      <w:r w:rsidRPr="00DF01A5">
        <w:br/>
        <w:t xml:space="preserve">Status: </w:t>
      </w:r>
      <w:r w:rsidRPr="00DF01A5">
        <w:rPr>
          <w:b/>
          <w:bCs/>
        </w:rPr>
        <w:t>Met</w:t>
      </w:r>
      <w:r w:rsidRPr="00DF01A5">
        <w:br/>
        <w:t>Significant issues, auditor appointment, independence, non-audit services and internal audit arrangements are disclosed.</w:t>
      </w:r>
    </w:p>
    <w:p w14:paraId="03A7FAF7" w14:textId="77777777" w:rsidR="00DF01A5" w:rsidRPr="00DF01A5" w:rsidRDefault="00DF01A5" w:rsidP="00DF01A5">
      <w:r w:rsidRPr="00DF01A5">
        <w:rPr>
          <w:b/>
          <w:bCs/>
        </w:rPr>
        <w:t>Risk management and internal control effectiveness</w:t>
      </w:r>
      <w:r w:rsidRPr="00DF01A5">
        <w:br/>
        <w:t xml:space="preserve">Status: </w:t>
      </w:r>
      <w:r w:rsidRPr="00DF01A5">
        <w:rPr>
          <w:b/>
          <w:bCs/>
        </w:rPr>
        <w:t>Met</w:t>
      </w:r>
      <w:r w:rsidRPr="00DF01A5">
        <w:br/>
        <w:t>The board confirms the effectiveness of risk management and internal controls.</w:t>
      </w:r>
    </w:p>
    <w:p w14:paraId="5E539006" w14:textId="77777777" w:rsidR="00DF01A5" w:rsidRPr="00DF01A5" w:rsidRDefault="00DF01A5" w:rsidP="00DF01A5">
      <w:r w:rsidRPr="00DF01A5">
        <w:rPr>
          <w:b/>
          <w:bCs/>
        </w:rPr>
        <w:t>Going concern and viability</w:t>
      </w:r>
      <w:r w:rsidRPr="00DF01A5">
        <w:br/>
        <w:t xml:space="preserve">Status: </w:t>
      </w:r>
      <w:r w:rsidRPr="00DF01A5">
        <w:rPr>
          <w:b/>
          <w:bCs/>
        </w:rPr>
        <w:t>Met</w:t>
      </w:r>
      <w:r w:rsidRPr="00DF01A5">
        <w:br/>
        <w:t>Both going concern and viability statements are present, including period covered, scenarios and conclusions.</w:t>
      </w:r>
    </w:p>
    <w:p w14:paraId="46C91C28" w14:textId="77777777" w:rsidR="00DF01A5" w:rsidRPr="00DF01A5" w:rsidRDefault="00DF01A5" w:rsidP="00DF01A5">
      <w:r w:rsidRPr="00DF01A5">
        <w:pict w14:anchorId="5CE7A699">
          <v:rect id="_x0000_i1028" style="width:0;height:1.5pt" o:hralign="center" o:hrstd="t" o:hr="t" fillcolor="#a0a0a0" stroked="f"/>
        </w:pict>
      </w:r>
    </w:p>
    <w:p w14:paraId="2C4A0C8A" w14:textId="77777777" w:rsidR="00DF01A5" w:rsidRPr="00DF01A5" w:rsidRDefault="00DF01A5" w:rsidP="00DF01A5">
      <w:pPr>
        <w:rPr>
          <w:b/>
          <w:bCs/>
        </w:rPr>
      </w:pPr>
      <w:r w:rsidRPr="00DF01A5">
        <w:rPr>
          <w:b/>
          <w:bCs/>
        </w:rPr>
        <w:t>Section 172 Statement</w:t>
      </w:r>
    </w:p>
    <w:p w14:paraId="2FCFD417" w14:textId="77777777" w:rsidR="00DF01A5" w:rsidRPr="00DF01A5" w:rsidRDefault="00DF01A5" w:rsidP="00DF01A5">
      <w:r w:rsidRPr="00DF01A5">
        <w:rPr>
          <w:b/>
          <w:bCs/>
        </w:rPr>
        <w:t>Companies Act 2006 s414CZA</w:t>
      </w:r>
    </w:p>
    <w:p w14:paraId="5308348C" w14:textId="77777777" w:rsidR="00DF01A5" w:rsidRPr="00DF01A5" w:rsidRDefault="00DF01A5" w:rsidP="00DF01A5">
      <w:r w:rsidRPr="00DF01A5">
        <w:rPr>
          <w:b/>
          <w:bCs/>
        </w:rPr>
        <w:t>Statement present</w:t>
      </w:r>
      <w:r w:rsidRPr="00DF01A5">
        <w:br/>
        <w:t xml:space="preserve">Status: </w:t>
      </w:r>
      <w:r w:rsidRPr="00DF01A5">
        <w:rPr>
          <w:b/>
          <w:bCs/>
        </w:rPr>
        <w:t>Met</w:t>
      </w:r>
    </w:p>
    <w:p w14:paraId="7CD4AF8E" w14:textId="77777777" w:rsidR="00DF01A5" w:rsidRPr="00DF01A5" w:rsidRDefault="00DF01A5" w:rsidP="00DF01A5">
      <w:r w:rsidRPr="00DF01A5">
        <w:rPr>
          <w:b/>
          <w:bCs/>
        </w:rPr>
        <w:t>Stakeholders identified</w:t>
      </w:r>
      <w:r w:rsidRPr="00DF01A5">
        <w:br/>
        <w:t xml:space="preserve">Status: </w:t>
      </w:r>
      <w:r w:rsidRPr="00DF01A5">
        <w:rPr>
          <w:b/>
          <w:bCs/>
        </w:rPr>
        <w:t>Met</w:t>
      </w:r>
    </w:p>
    <w:p w14:paraId="065FCC7B" w14:textId="77777777" w:rsidR="00DF01A5" w:rsidRPr="00DF01A5" w:rsidRDefault="00DF01A5" w:rsidP="00DF01A5">
      <w:r w:rsidRPr="00DF01A5">
        <w:rPr>
          <w:b/>
          <w:bCs/>
        </w:rPr>
        <w:t>Engagement and board consideration of stakeholder views</w:t>
      </w:r>
      <w:r w:rsidRPr="00DF01A5">
        <w:br/>
        <w:t xml:space="preserve">Status: </w:t>
      </w:r>
      <w:r w:rsidRPr="00DF01A5">
        <w:rPr>
          <w:b/>
          <w:bCs/>
        </w:rPr>
        <w:t>Met (with limitations)</w:t>
      </w:r>
      <w:r w:rsidRPr="00DF01A5">
        <w:br/>
        <w:t>Engagement mechanisms are described, but fewer explicit examples link stakeholder input to specific board decisions.</w:t>
      </w:r>
    </w:p>
    <w:p w14:paraId="243441C2" w14:textId="77777777" w:rsidR="00DF01A5" w:rsidRPr="00DF01A5" w:rsidRDefault="00DF01A5" w:rsidP="00DF01A5">
      <w:r w:rsidRPr="00DF01A5">
        <w:rPr>
          <w:b/>
          <w:bCs/>
        </w:rPr>
        <w:lastRenderedPageBreak/>
        <w:t>Principal decisions and outcomes</w:t>
      </w:r>
      <w:r w:rsidRPr="00DF01A5">
        <w:br/>
        <w:t xml:space="preserve">Status: </w:t>
      </w:r>
      <w:r w:rsidRPr="00DF01A5">
        <w:rPr>
          <w:b/>
          <w:bCs/>
        </w:rPr>
        <w:t>Partially met</w:t>
      </w:r>
      <w:r w:rsidRPr="00DF01A5">
        <w:br/>
        <w:t>Some examples are provided, but the framing of “principal decisions” and resulting outcomes is limited in the reviewed extracts.</w:t>
      </w:r>
    </w:p>
    <w:p w14:paraId="03CB765D" w14:textId="77777777" w:rsidR="00DF01A5" w:rsidRPr="00DF01A5" w:rsidRDefault="00DF01A5" w:rsidP="00DF01A5">
      <w:r w:rsidRPr="00DF01A5">
        <w:pict w14:anchorId="3DEF3292">
          <v:rect id="_x0000_i1029" style="width:0;height:1.5pt" o:hralign="center" o:hrstd="t" o:hr="t" fillcolor="#a0a0a0" stroked="f"/>
        </w:pict>
      </w:r>
    </w:p>
    <w:p w14:paraId="2F887AD2" w14:textId="77777777" w:rsidR="00DF01A5" w:rsidRPr="00DF01A5" w:rsidRDefault="00DF01A5" w:rsidP="00DF01A5">
      <w:pPr>
        <w:rPr>
          <w:b/>
          <w:bCs/>
        </w:rPr>
      </w:pPr>
      <w:r w:rsidRPr="00DF01A5">
        <w:rPr>
          <w:b/>
          <w:bCs/>
        </w:rPr>
        <w:t>Alternative Performance Measures</w:t>
      </w:r>
    </w:p>
    <w:p w14:paraId="21DC8423" w14:textId="77777777" w:rsidR="00DF01A5" w:rsidRPr="00DF01A5" w:rsidRDefault="00DF01A5" w:rsidP="00DF01A5">
      <w:r w:rsidRPr="00DF01A5">
        <w:rPr>
          <w:b/>
          <w:bCs/>
        </w:rPr>
        <w:t>ESMA APM Guidelines</w:t>
      </w:r>
    </w:p>
    <w:p w14:paraId="23C5EEE2" w14:textId="77777777" w:rsidR="00DF01A5" w:rsidRPr="00DF01A5" w:rsidRDefault="00DF01A5" w:rsidP="00DF01A5">
      <w:r w:rsidRPr="00DF01A5">
        <w:rPr>
          <w:b/>
          <w:bCs/>
        </w:rPr>
        <w:t>APMs clearly identified and defined</w:t>
      </w:r>
      <w:r w:rsidRPr="00DF01A5">
        <w:br/>
        <w:t xml:space="preserve">Status: </w:t>
      </w:r>
      <w:r w:rsidRPr="00DF01A5">
        <w:rPr>
          <w:b/>
          <w:bCs/>
        </w:rPr>
        <w:t>Met</w:t>
      </w:r>
    </w:p>
    <w:p w14:paraId="7B6A2878" w14:textId="77777777" w:rsidR="00DF01A5" w:rsidRPr="00DF01A5" w:rsidRDefault="00DF01A5" w:rsidP="00DF01A5">
      <w:r w:rsidRPr="00DF01A5">
        <w:rPr>
          <w:b/>
          <w:bCs/>
        </w:rPr>
        <w:t>Reconciliations to IFRS measures</w:t>
      </w:r>
      <w:r w:rsidRPr="00DF01A5">
        <w:br/>
        <w:t xml:space="preserve">Status: </w:t>
      </w:r>
      <w:r w:rsidRPr="00DF01A5">
        <w:rPr>
          <w:b/>
          <w:bCs/>
        </w:rPr>
        <w:t>Met</w:t>
      </w:r>
    </w:p>
    <w:p w14:paraId="329F71AA" w14:textId="77777777" w:rsidR="00DF01A5" w:rsidRPr="00DF01A5" w:rsidRDefault="00DF01A5" w:rsidP="00DF01A5">
      <w:r w:rsidRPr="00DF01A5">
        <w:rPr>
          <w:b/>
          <w:bCs/>
        </w:rPr>
        <w:t>Purpose and usefulness explained</w:t>
      </w:r>
      <w:r w:rsidRPr="00DF01A5">
        <w:br/>
        <w:t xml:space="preserve">Status: </w:t>
      </w:r>
      <w:r w:rsidRPr="00DF01A5">
        <w:rPr>
          <w:b/>
          <w:bCs/>
        </w:rPr>
        <w:t>Met</w:t>
      </w:r>
    </w:p>
    <w:p w14:paraId="29D85A28" w14:textId="77777777" w:rsidR="00DF01A5" w:rsidRPr="00DF01A5" w:rsidRDefault="00DF01A5" w:rsidP="00DF01A5">
      <w:r w:rsidRPr="00DF01A5">
        <w:rPr>
          <w:b/>
          <w:bCs/>
        </w:rPr>
        <w:t>Consistency and changes</w:t>
      </w:r>
      <w:r w:rsidRPr="00DF01A5">
        <w:br/>
        <w:t xml:space="preserve">Status: </w:t>
      </w:r>
      <w:r w:rsidRPr="00DF01A5">
        <w:rPr>
          <w:b/>
          <w:bCs/>
        </w:rPr>
        <w:t>Partially met</w:t>
      </w:r>
      <w:r w:rsidRPr="00DF01A5">
        <w:br/>
        <w:t>Comparatives are generally shown, but clarity around changes in definitions and treatment of prior periods is limited in the reviewed extracts.</w:t>
      </w:r>
    </w:p>
    <w:p w14:paraId="6C076A60" w14:textId="77777777" w:rsidR="00DF01A5" w:rsidRPr="00DF01A5" w:rsidRDefault="00DF01A5" w:rsidP="00DF01A5">
      <w:r w:rsidRPr="00DF01A5">
        <w:rPr>
          <w:b/>
          <w:bCs/>
        </w:rPr>
        <w:t>No undue prominence</w:t>
      </w:r>
      <w:r w:rsidRPr="00DF01A5">
        <w:br/>
        <w:t xml:space="preserve">Status: </w:t>
      </w:r>
      <w:r w:rsidRPr="00DF01A5">
        <w:rPr>
          <w:b/>
          <w:bCs/>
        </w:rPr>
        <w:t>Met</w:t>
      </w:r>
    </w:p>
    <w:p w14:paraId="7388C767" w14:textId="77777777" w:rsidR="00DF01A5" w:rsidRPr="00DF01A5" w:rsidRDefault="00DF01A5" w:rsidP="00DF01A5">
      <w:r w:rsidRPr="00DF01A5">
        <w:pict w14:anchorId="1C73CF9A">
          <v:rect id="_x0000_i1030" style="width:0;height:1.5pt" o:hralign="center" o:hrstd="t" o:hr="t" fillcolor="#a0a0a0" stroked="f"/>
        </w:pict>
      </w:r>
    </w:p>
    <w:p w14:paraId="6156B539" w14:textId="77777777" w:rsidR="00DF01A5" w:rsidRPr="00DF01A5" w:rsidRDefault="00DF01A5" w:rsidP="00DF01A5">
      <w:pPr>
        <w:rPr>
          <w:b/>
          <w:bCs/>
        </w:rPr>
      </w:pPr>
      <w:r w:rsidRPr="00DF01A5">
        <w:rPr>
          <w:b/>
          <w:bCs/>
        </w:rPr>
        <w:t>IFRS Financial Statements</w:t>
      </w:r>
    </w:p>
    <w:p w14:paraId="567340D2" w14:textId="77777777" w:rsidR="00DF01A5" w:rsidRPr="00DF01A5" w:rsidRDefault="00DF01A5" w:rsidP="00DF01A5">
      <w:r w:rsidRPr="00DF01A5">
        <w:rPr>
          <w:b/>
          <w:bCs/>
        </w:rPr>
        <w:t>UK-adopted IFRS</w:t>
      </w:r>
    </w:p>
    <w:p w14:paraId="1E8A8E75" w14:textId="77777777" w:rsidR="00DF01A5" w:rsidRPr="00DF01A5" w:rsidRDefault="00DF01A5" w:rsidP="00DF01A5">
      <w:r w:rsidRPr="00DF01A5">
        <w:rPr>
          <w:b/>
          <w:bCs/>
        </w:rPr>
        <w:t>Statement of compliance and basis of preparation</w:t>
      </w:r>
      <w:r w:rsidRPr="00DF01A5">
        <w:br/>
        <w:t xml:space="preserve">Status: </w:t>
      </w:r>
      <w:r w:rsidRPr="00DF01A5">
        <w:rPr>
          <w:b/>
          <w:bCs/>
        </w:rPr>
        <w:t>Met</w:t>
      </w:r>
    </w:p>
    <w:p w14:paraId="4487F3FF" w14:textId="77777777" w:rsidR="00DF01A5" w:rsidRPr="00DF01A5" w:rsidRDefault="00DF01A5" w:rsidP="00DF01A5">
      <w:r w:rsidRPr="00DF01A5">
        <w:rPr>
          <w:b/>
          <w:bCs/>
        </w:rPr>
        <w:t>Significant judgements and estimation uncertainty</w:t>
      </w:r>
      <w:r w:rsidRPr="00DF01A5">
        <w:br/>
        <w:t xml:space="preserve">Status: </w:t>
      </w:r>
      <w:r w:rsidRPr="00DF01A5">
        <w:rPr>
          <w:b/>
          <w:bCs/>
        </w:rPr>
        <w:t>Met</w:t>
      </w:r>
    </w:p>
    <w:p w14:paraId="2EA86125" w14:textId="77777777" w:rsidR="00DF01A5" w:rsidRPr="00DF01A5" w:rsidRDefault="00DF01A5" w:rsidP="00DF01A5">
      <w:r w:rsidRPr="00DF01A5">
        <w:rPr>
          <w:b/>
          <w:bCs/>
        </w:rPr>
        <w:t>Segment reporting</w:t>
      </w:r>
      <w:r w:rsidRPr="00DF01A5">
        <w:br/>
        <w:t xml:space="preserve">Status: </w:t>
      </w:r>
      <w:r w:rsidRPr="00DF01A5">
        <w:rPr>
          <w:b/>
          <w:bCs/>
        </w:rPr>
        <w:t>Met</w:t>
      </w:r>
    </w:p>
    <w:p w14:paraId="0CA38450" w14:textId="77777777" w:rsidR="00DF01A5" w:rsidRPr="00DF01A5" w:rsidRDefault="00DF01A5" w:rsidP="00DF01A5">
      <w:r w:rsidRPr="00DF01A5">
        <w:rPr>
          <w:b/>
          <w:bCs/>
        </w:rPr>
        <w:t>Revenue disclosures</w:t>
      </w:r>
      <w:r w:rsidRPr="00DF01A5">
        <w:br/>
        <w:t xml:space="preserve">Status: </w:t>
      </w:r>
      <w:r w:rsidRPr="00DF01A5">
        <w:rPr>
          <w:b/>
          <w:bCs/>
        </w:rPr>
        <w:t>Partially met</w:t>
      </w:r>
      <w:r w:rsidRPr="00DF01A5">
        <w:br/>
        <w:t xml:space="preserve">Revenue policies, disaggregation and remaining performance obligations are disclosed across multiple </w:t>
      </w:r>
      <w:proofErr w:type="gramStart"/>
      <w:r w:rsidRPr="00DF01A5">
        <w:t>sections, but</w:t>
      </w:r>
      <w:proofErr w:type="gramEnd"/>
      <w:r w:rsidRPr="00DF01A5">
        <w:t xml:space="preserve"> are not fully evidenced as a single coherent set in the reviewed extracts.</w:t>
      </w:r>
    </w:p>
    <w:p w14:paraId="7817A98E" w14:textId="77777777" w:rsidR="00DF01A5" w:rsidRPr="00DF01A5" w:rsidRDefault="00DF01A5" w:rsidP="00DF01A5">
      <w:r w:rsidRPr="00DF01A5">
        <w:rPr>
          <w:b/>
          <w:bCs/>
        </w:rPr>
        <w:t>Leases</w:t>
      </w:r>
      <w:r w:rsidRPr="00DF01A5">
        <w:br/>
        <w:t xml:space="preserve">Status: </w:t>
      </w:r>
      <w:r w:rsidRPr="00DF01A5">
        <w:rPr>
          <w:b/>
          <w:bCs/>
        </w:rPr>
        <w:t>Partially met</w:t>
      </w:r>
      <w:r w:rsidRPr="00DF01A5">
        <w:br/>
        <w:t>Some lease disclosures are present, but full maturity and qualitative disclosures are not fully evidenced in the reviewed material.</w:t>
      </w:r>
    </w:p>
    <w:p w14:paraId="3ED0AB24" w14:textId="77777777" w:rsidR="00DF01A5" w:rsidRPr="00DF01A5" w:rsidRDefault="00DF01A5" w:rsidP="00DF01A5">
      <w:r w:rsidRPr="00DF01A5">
        <w:rPr>
          <w:b/>
          <w:bCs/>
        </w:rPr>
        <w:t>Financial instruments, liquidity and market risk</w:t>
      </w:r>
      <w:r w:rsidRPr="00DF01A5">
        <w:br/>
        <w:t xml:space="preserve">Status: </w:t>
      </w:r>
      <w:r w:rsidRPr="00DF01A5">
        <w:rPr>
          <w:b/>
          <w:bCs/>
        </w:rPr>
        <w:t>Met</w:t>
      </w:r>
    </w:p>
    <w:p w14:paraId="664255F9" w14:textId="77777777" w:rsidR="00DF01A5" w:rsidRPr="00DF01A5" w:rsidRDefault="00DF01A5" w:rsidP="00DF01A5">
      <w:r w:rsidRPr="00DF01A5">
        <w:rPr>
          <w:b/>
          <w:bCs/>
        </w:rPr>
        <w:lastRenderedPageBreak/>
        <w:t>Tax, provisions, contingencies and related parties</w:t>
      </w:r>
      <w:r w:rsidRPr="00DF01A5">
        <w:br/>
        <w:t xml:space="preserve">Status: </w:t>
      </w:r>
      <w:r w:rsidRPr="00DF01A5">
        <w:rPr>
          <w:b/>
          <w:bCs/>
        </w:rPr>
        <w:t>Met</w:t>
      </w:r>
    </w:p>
    <w:p w14:paraId="19E91FC1" w14:textId="77777777" w:rsidR="00DF01A5" w:rsidRPr="00DF01A5" w:rsidRDefault="00DF01A5" w:rsidP="00DF01A5">
      <w:r w:rsidRPr="00DF01A5">
        <w:pict w14:anchorId="21F00224">
          <v:rect id="_x0000_i1031" style="width:0;height:1.5pt" o:hralign="center" o:hrstd="t" o:hr="t" fillcolor="#a0a0a0" stroked="f"/>
        </w:pict>
      </w:r>
    </w:p>
    <w:p w14:paraId="1F73F0FA" w14:textId="77777777" w:rsidR="00DF01A5" w:rsidRPr="00DF01A5" w:rsidRDefault="00DF01A5" w:rsidP="00DF01A5">
      <w:pPr>
        <w:rPr>
          <w:b/>
          <w:bCs/>
        </w:rPr>
      </w:pPr>
      <w:r w:rsidRPr="00DF01A5">
        <w:rPr>
          <w:b/>
          <w:bCs/>
        </w:rPr>
        <w:t>Climate-related disclosures</w:t>
      </w:r>
    </w:p>
    <w:p w14:paraId="3DF073B2" w14:textId="77777777" w:rsidR="00DF01A5" w:rsidRPr="00DF01A5" w:rsidRDefault="00DF01A5" w:rsidP="00DF01A5">
      <w:r w:rsidRPr="00DF01A5">
        <w:rPr>
          <w:b/>
          <w:bCs/>
        </w:rPr>
        <w:t>LR 9.8.6R(8) and TCFD-aligned reporting</w:t>
      </w:r>
    </w:p>
    <w:p w14:paraId="4C935B70" w14:textId="77777777" w:rsidR="00DF01A5" w:rsidRPr="00DF01A5" w:rsidRDefault="00DF01A5" w:rsidP="00DF01A5">
      <w:r w:rsidRPr="00DF01A5">
        <w:rPr>
          <w:b/>
          <w:bCs/>
        </w:rPr>
        <w:t>LR 9.8.6R(8) consistency statement</w:t>
      </w:r>
      <w:r w:rsidRPr="00DF01A5">
        <w:br/>
        <w:t xml:space="preserve">Status: </w:t>
      </w:r>
      <w:r w:rsidRPr="00DF01A5">
        <w:rPr>
          <w:b/>
          <w:bCs/>
        </w:rPr>
        <w:t>Uncertain</w:t>
      </w:r>
      <w:r w:rsidRPr="00DF01A5">
        <w:br/>
        <w:t>Signposting and committee oversight references are present, but the explicit compliance or explain statement is not evidenced in the reviewed extracts.</w:t>
      </w:r>
    </w:p>
    <w:p w14:paraId="4C27C77B" w14:textId="77777777" w:rsidR="00DF01A5" w:rsidRPr="00DF01A5" w:rsidRDefault="00DF01A5" w:rsidP="00DF01A5">
      <w:r w:rsidRPr="00DF01A5">
        <w:rPr>
          <w:b/>
          <w:bCs/>
        </w:rPr>
        <w:t>Governance and management oversight</w:t>
      </w:r>
      <w:r w:rsidRPr="00DF01A5">
        <w:br/>
        <w:t xml:space="preserve">Status: </w:t>
      </w:r>
      <w:r w:rsidRPr="00DF01A5">
        <w:rPr>
          <w:b/>
          <w:bCs/>
        </w:rPr>
        <w:t>Partially met</w:t>
      </w:r>
    </w:p>
    <w:p w14:paraId="2D1C93D3" w14:textId="77777777" w:rsidR="00DF01A5" w:rsidRPr="00DF01A5" w:rsidRDefault="00DF01A5" w:rsidP="00DF01A5">
      <w:r w:rsidRPr="00DF01A5">
        <w:rPr>
          <w:b/>
          <w:bCs/>
        </w:rPr>
        <w:t>Risk identification and integration</w:t>
      </w:r>
      <w:r w:rsidRPr="00DF01A5">
        <w:br/>
        <w:t xml:space="preserve">Status: </w:t>
      </w:r>
      <w:r w:rsidRPr="00DF01A5">
        <w:rPr>
          <w:b/>
          <w:bCs/>
        </w:rPr>
        <w:t>Partially met</w:t>
      </w:r>
    </w:p>
    <w:p w14:paraId="3C5FCCD6" w14:textId="77777777" w:rsidR="00DF01A5" w:rsidRPr="00DF01A5" w:rsidRDefault="00DF01A5" w:rsidP="00DF01A5">
      <w:r w:rsidRPr="00DF01A5">
        <w:rPr>
          <w:b/>
          <w:bCs/>
        </w:rPr>
        <w:t>Strategy and financial impacts</w:t>
      </w:r>
      <w:r w:rsidRPr="00DF01A5">
        <w:br/>
        <w:t xml:space="preserve">Status: </w:t>
      </w:r>
      <w:r w:rsidRPr="00DF01A5">
        <w:rPr>
          <w:b/>
          <w:bCs/>
        </w:rPr>
        <w:t>Partially met</w:t>
      </w:r>
    </w:p>
    <w:p w14:paraId="4241F6A6" w14:textId="77777777" w:rsidR="00DF01A5" w:rsidRPr="00DF01A5" w:rsidRDefault="00DF01A5" w:rsidP="00DF01A5">
      <w:r w:rsidRPr="00DF01A5">
        <w:rPr>
          <w:b/>
          <w:bCs/>
        </w:rPr>
        <w:t>Scenario analysis and resilience</w:t>
      </w:r>
      <w:r w:rsidRPr="00DF01A5">
        <w:br/>
        <w:t xml:space="preserve">Status: </w:t>
      </w:r>
      <w:r w:rsidRPr="00DF01A5">
        <w:rPr>
          <w:b/>
          <w:bCs/>
        </w:rPr>
        <w:t>Partially met</w:t>
      </w:r>
    </w:p>
    <w:p w14:paraId="77A00E06" w14:textId="77777777" w:rsidR="00DF01A5" w:rsidRPr="00DF01A5" w:rsidRDefault="00DF01A5" w:rsidP="00DF01A5">
      <w:r w:rsidRPr="00DF01A5">
        <w:rPr>
          <w:b/>
          <w:bCs/>
        </w:rPr>
        <w:t>Metrics and targets</w:t>
      </w:r>
      <w:r w:rsidRPr="00DF01A5">
        <w:br/>
        <w:t xml:space="preserve">Status: </w:t>
      </w:r>
      <w:r w:rsidRPr="00DF01A5">
        <w:rPr>
          <w:b/>
          <w:bCs/>
        </w:rPr>
        <w:t>Met for metrics; Partially met for targets</w:t>
      </w:r>
    </w:p>
    <w:p w14:paraId="52470692" w14:textId="77777777" w:rsidR="00DF01A5" w:rsidRPr="00DF01A5" w:rsidRDefault="00DF01A5" w:rsidP="00DF01A5">
      <w:r w:rsidRPr="00DF01A5">
        <w:pict w14:anchorId="0F8EE597">
          <v:rect id="_x0000_i1032" style="width:0;height:1.5pt" o:hralign="center" o:hrstd="t" o:hr="t" fillcolor="#a0a0a0" stroked="f"/>
        </w:pict>
      </w:r>
    </w:p>
    <w:p w14:paraId="09D3FBC3" w14:textId="77777777" w:rsidR="00DF01A5" w:rsidRPr="00DF01A5" w:rsidRDefault="00DF01A5" w:rsidP="00DF01A5">
      <w:pPr>
        <w:rPr>
          <w:b/>
          <w:bCs/>
        </w:rPr>
      </w:pPr>
      <w:r w:rsidRPr="00DF01A5">
        <w:rPr>
          <w:b/>
          <w:bCs/>
        </w:rPr>
        <w:t>SECR</w:t>
      </w:r>
    </w:p>
    <w:p w14:paraId="246E30D2" w14:textId="77777777" w:rsidR="00DF01A5" w:rsidRPr="00DF01A5" w:rsidRDefault="00DF01A5" w:rsidP="00DF01A5">
      <w:r w:rsidRPr="00DF01A5">
        <w:rPr>
          <w:b/>
          <w:bCs/>
        </w:rPr>
        <w:t>Streamlined Energy and Carbon Reporting</w:t>
      </w:r>
    </w:p>
    <w:p w14:paraId="3253BEFB" w14:textId="77777777" w:rsidR="00DF01A5" w:rsidRPr="00DF01A5" w:rsidRDefault="00DF01A5" w:rsidP="00DF01A5">
      <w:r w:rsidRPr="00DF01A5">
        <w:rPr>
          <w:b/>
          <w:bCs/>
        </w:rPr>
        <w:t>Energy use and emissions</w:t>
      </w:r>
      <w:r w:rsidRPr="00DF01A5">
        <w:br/>
        <w:t xml:space="preserve">Status: </w:t>
      </w:r>
      <w:r w:rsidRPr="00DF01A5">
        <w:rPr>
          <w:b/>
          <w:bCs/>
        </w:rPr>
        <w:t>Partially met</w:t>
      </w:r>
      <w:r w:rsidRPr="00DF01A5">
        <w:br/>
        <w:t>UK energy and emissions figures are disclosed, but the full SECR presentation is not fully evidenced in the reviewed extracts.</w:t>
      </w:r>
    </w:p>
    <w:p w14:paraId="51D28317" w14:textId="77777777" w:rsidR="00DF01A5" w:rsidRPr="00DF01A5" w:rsidRDefault="00DF01A5" w:rsidP="00DF01A5">
      <w:r w:rsidRPr="00DF01A5">
        <w:rPr>
          <w:b/>
          <w:bCs/>
        </w:rPr>
        <w:t>Intensity ratios and methodology</w:t>
      </w:r>
      <w:r w:rsidRPr="00DF01A5">
        <w:br/>
        <w:t xml:space="preserve">Status: </w:t>
      </w:r>
      <w:r w:rsidRPr="00DF01A5">
        <w:rPr>
          <w:b/>
          <w:bCs/>
        </w:rPr>
        <w:t>Met</w:t>
      </w:r>
    </w:p>
    <w:p w14:paraId="13FBF661" w14:textId="77777777" w:rsidR="00DF01A5" w:rsidRPr="00DF01A5" w:rsidRDefault="00DF01A5" w:rsidP="00DF01A5">
      <w:r w:rsidRPr="00DF01A5">
        <w:pict w14:anchorId="780A8268">
          <v:rect id="_x0000_i1033" style="width:0;height:1.5pt" o:hralign="center" o:hrstd="t" o:hr="t" fillcolor="#a0a0a0" stroked="f"/>
        </w:pict>
      </w:r>
    </w:p>
    <w:p w14:paraId="4427A5BB" w14:textId="77777777" w:rsidR="00DF01A5" w:rsidRPr="00DF01A5" w:rsidRDefault="00DF01A5" w:rsidP="00DF01A5">
      <w:pPr>
        <w:rPr>
          <w:b/>
          <w:bCs/>
        </w:rPr>
      </w:pPr>
      <w:r w:rsidRPr="00DF01A5">
        <w:rPr>
          <w:b/>
          <w:bCs/>
        </w:rPr>
        <w:t>Directors’ responsibilities, DTR and audit</w:t>
      </w:r>
    </w:p>
    <w:p w14:paraId="400DBD24" w14:textId="77777777" w:rsidR="00DF01A5" w:rsidRPr="00DF01A5" w:rsidRDefault="00DF01A5" w:rsidP="00DF01A5">
      <w:r w:rsidRPr="00DF01A5">
        <w:rPr>
          <w:b/>
          <w:bCs/>
        </w:rPr>
        <w:t>Directors’ responsibilities and DTR statements</w:t>
      </w:r>
      <w:r w:rsidRPr="00DF01A5">
        <w:br/>
        <w:t xml:space="preserve">Status: </w:t>
      </w:r>
      <w:r w:rsidRPr="00DF01A5">
        <w:rPr>
          <w:b/>
          <w:bCs/>
        </w:rPr>
        <w:t>Met (minor presentation caveat)</w:t>
      </w:r>
    </w:p>
    <w:p w14:paraId="6A1DEF7C" w14:textId="77777777" w:rsidR="00DF01A5" w:rsidRPr="00DF01A5" w:rsidRDefault="00DF01A5" w:rsidP="00DF01A5">
      <w:r w:rsidRPr="00DF01A5">
        <w:rPr>
          <w:b/>
          <w:bCs/>
        </w:rPr>
        <w:t>Audit report</w:t>
      </w:r>
      <w:r w:rsidRPr="00DF01A5">
        <w:br/>
        <w:t xml:space="preserve">Status: </w:t>
      </w:r>
      <w:r w:rsidRPr="00DF01A5">
        <w:rPr>
          <w:b/>
          <w:bCs/>
        </w:rPr>
        <w:t>Met</w:t>
      </w:r>
    </w:p>
    <w:p w14:paraId="197946FC" w14:textId="77777777" w:rsidR="00DF01A5" w:rsidRPr="00DF01A5" w:rsidRDefault="00DF01A5" w:rsidP="00DF01A5">
      <w:r w:rsidRPr="00DF01A5">
        <w:rPr>
          <w:b/>
          <w:bCs/>
        </w:rPr>
        <w:t>ESEF and NSM filing statements</w:t>
      </w:r>
      <w:r w:rsidRPr="00DF01A5">
        <w:br/>
        <w:t xml:space="preserve">Status: </w:t>
      </w:r>
      <w:r w:rsidRPr="00DF01A5">
        <w:rPr>
          <w:b/>
          <w:bCs/>
        </w:rPr>
        <w:t>Uncertain</w:t>
      </w:r>
      <w:r w:rsidRPr="00DF01A5">
        <w:br/>
      </w:r>
      <w:r w:rsidRPr="00DF01A5">
        <w:lastRenderedPageBreak/>
        <w:t>Obligations are referenced, but confirmation of filing, format and availability is not clearly evidenced in the reviewed extracts.</w:t>
      </w:r>
    </w:p>
    <w:p w14:paraId="59C35FB6" w14:textId="77777777" w:rsidR="00417937" w:rsidRDefault="00417937"/>
    <w:sectPr w:rsidR="004179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A5"/>
    <w:rsid w:val="00417937"/>
    <w:rsid w:val="004D6AF9"/>
    <w:rsid w:val="005C337D"/>
    <w:rsid w:val="00906D0D"/>
    <w:rsid w:val="00920C37"/>
    <w:rsid w:val="00A90283"/>
    <w:rsid w:val="00B533D9"/>
    <w:rsid w:val="00C32310"/>
    <w:rsid w:val="00D417CE"/>
    <w:rsid w:val="00DF01A5"/>
    <w:rsid w:val="00E8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5815"/>
  <w15:chartTrackingRefBased/>
  <w15:docId w15:val="{28BD0292-54E3-4EBF-93C4-9CAB4C59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1A5"/>
    <w:rPr>
      <w:rFonts w:eastAsiaTheme="majorEastAsia" w:cstheme="majorBidi"/>
      <w:color w:val="272727" w:themeColor="text1" w:themeTint="D8"/>
    </w:rPr>
  </w:style>
  <w:style w:type="paragraph" w:styleId="Title">
    <w:name w:val="Title"/>
    <w:basedOn w:val="Normal"/>
    <w:next w:val="Normal"/>
    <w:link w:val="TitleChar"/>
    <w:uiPriority w:val="10"/>
    <w:qFormat/>
    <w:rsid w:val="00DF0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1A5"/>
    <w:pPr>
      <w:spacing w:before="160"/>
      <w:jc w:val="center"/>
    </w:pPr>
    <w:rPr>
      <w:i/>
      <w:iCs/>
      <w:color w:val="404040" w:themeColor="text1" w:themeTint="BF"/>
    </w:rPr>
  </w:style>
  <w:style w:type="character" w:customStyle="1" w:styleId="QuoteChar">
    <w:name w:val="Quote Char"/>
    <w:basedOn w:val="DefaultParagraphFont"/>
    <w:link w:val="Quote"/>
    <w:uiPriority w:val="29"/>
    <w:rsid w:val="00DF01A5"/>
    <w:rPr>
      <w:i/>
      <w:iCs/>
      <w:color w:val="404040" w:themeColor="text1" w:themeTint="BF"/>
    </w:rPr>
  </w:style>
  <w:style w:type="paragraph" w:styleId="ListParagraph">
    <w:name w:val="List Paragraph"/>
    <w:basedOn w:val="Normal"/>
    <w:uiPriority w:val="34"/>
    <w:qFormat/>
    <w:rsid w:val="00DF01A5"/>
    <w:pPr>
      <w:ind w:left="720"/>
      <w:contextualSpacing/>
    </w:pPr>
  </w:style>
  <w:style w:type="character" w:styleId="IntenseEmphasis">
    <w:name w:val="Intense Emphasis"/>
    <w:basedOn w:val="DefaultParagraphFont"/>
    <w:uiPriority w:val="21"/>
    <w:qFormat/>
    <w:rsid w:val="00DF01A5"/>
    <w:rPr>
      <w:i/>
      <w:iCs/>
      <w:color w:val="0F4761" w:themeColor="accent1" w:themeShade="BF"/>
    </w:rPr>
  </w:style>
  <w:style w:type="paragraph" w:styleId="IntenseQuote">
    <w:name w:val="Intense Quote"/>
    <w:basedOn w:val="Normal"/>
    <w:next w:val="Normal"/>
    <w:link w:val="IntenseQuoteChar"/>
    <w:uiPriority w:val="30"/>
    <w:qFormat/>
    <w:rsid w:val="00DF0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1A5"/>
    <w:rPr>
      <w:i/>
      <w:iCs/>
      <w:color w:val="0F4761" w:themeColor="accent1" w:themeShade="BF"/>
    </w:rPr>
  </w:style>
  <w:style w:type="character" w:styleId="IntenseReference">
    <w:name w:val="Intense Reference"/>
    <w:basedOn w:val="DefaultParagraphFont"/>
    <w:uiPriority w:val="32"/>
    <w:qFormat/>
    <w:rsid w:val="00DF01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1152</Words>
  <Characters>6567</Characters>
  <Application>Microsoft Office Word</Application>
  <DocSecurity>0</DocSecurity>
  <Lines>54</Lines>
  <Paragraphs>15</Paragraphs>
  <ScaleCrop>false</ScaleCrop>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Lloyd</dc:creator>
  <cp:keywords/>
  <dc:description/>
  <cp:lastModifiedBy>Edwin Lloyd</cp:lastModifiedBy>
  <cp:revision>3</cp:revision>
  <dcterms:created xsi:type="dcterms:W3CDTF">2026-01-05T21:39:00Z</dcterms:created>
  <dcterms:modified xsi:type="dcterms:W3CDTF">2026-01-05T21:54:00Z</dcterms:modified>
</cp:coreProperties>
</file>